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5168" behindDoc="0" locked="0" layoutInCell="1" allowOverlap="1" wp14:anchorId="217D2D40" wp14:editId="73DF84AE">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D4CB5"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53120" behindDoc="0" locked="0" layoutInCell="1" allowOverlap="1" wp14:anchorId="0A3D628E" wp14:editId="60F1ED69">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4C19399B" w14:textId="77777777" w:rsidR="00D14CFC" w:rsidRDefault="00D14CFC"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LUẬT TỔ CHỨC CHÍNH QUYỀN </w:t>
      </w:r>
    </w:p>
    <w:p w14:paraId="63585468" w14:textId="3686390B" w:rsidR="002E2CEC" w:rsidRPr="004305BF" w:rsidRDefault="00D14CFC" w:rsidP="004305BF">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ĐỊA PHƯƠNG NĂM 2025</w:t>
      </w:r>
      <w:r w:rsidR="003D5F75">
        <w:rPr>
          <w:b/>
          <w:color w:val="FF0000"/>
          <w:sz w:val="27"/>
          <w:szCs w:val="27"/>
        </w:rPr>
        <w:t xml:space="preserve"> (Tờ 1)</w:t>
      </w:r>
    </w:p>
    <w:p w14:paraId="1153754A" w14:textId="49C74224"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7C4149FF" w14:textId="77777777"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45AF2A61" w14:textId="77777777"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7E324098" w:rsidR="00855104" w:rsidRPr="00A11892" w:rsidRDefault="004305BF"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777AE5B0" wp14:editId="5C853EDF">
            <wp:extent cx="2743200" cy="1704975"/>
            <wp:effectExtent l="0" t="0" r="0" b="9525"/>
            <wp:docPr id="6" name="Picture 6" descr="C:\Users\TVC\Downloads\images1389737_images137277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images1389737_images1372774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p w14:paraId="3DC68D53" w14:textId="77777777"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77777777"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61A81588"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0288" behindDoc="0" locked="0" layoutInCell="1" allowOverlap="1" wp14:anchorId="427D2FAC" wp14:editId="6AD6AE4B">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47BA625C" w14:textId="44822335" w:rsidR="00EE017E" w:rsidRPr="0068117B" w:rsidRDefault="00970955" w:rsidP="00970955">
      <w:pPr>
        <w:spacing w:line="276" w:lineRule="auto"/>
        <w:ind w:firstLine="567"/>
        <w:jc w:val="both"/>
        <w:rPr>
          <w:sz w:val="27"/>
          <w:szCs w:val="27"/>
          <w:lang w:eastAsia="vi-VN"/>
        </w:rPr>
      </w:pPr>
      <w:r w:rsidRPr="0068117B">
        <w:rPr>
          <w:sz w:val="27"/>
          <w:szCs w:val="27"/>
          <w:lang w:eastAsia="vi-VN"/>
        </w:rPr>
        <w:lastRenderedPageBreak/>
        <w:t>Luật Tổ chức chính quyền địa phương năm 2025 gồm 07 chương, 50 điều (giảm 1 chương, 93 điều so với Luật Tổ chức chính quyền địa phương năm 2015) với các nội dung cơ bản như: Phân định thẩm quyền, phân quyền, phân cấp, ủy quyền giữa chính quyền địa phương các cấp; về nhiệm vụ, quyền hạn của chính quyền địa phương các cấp; mô hình tổ chức chính quyền địa phương, cơ cấu tổ chức và hoạt động của HĐND, UBND các cấp; tổ chức đơn vị hành chính, thành lập, giải thể, nhập chia, điều chỉnh địa giới đơn vị hành chính;...</w:t>
      </w:r>
    </w:p>
    <w:p w14:paraId="4F8D9400" w14:textId="5A8B9E7F" w:rsidR="007B3036" w:rsidRPr="0068117B" w:rsidRDefault="007B3036" w:rsidP="007B3036">
      <w:pPr>
        <w:spacing w:line="276" w:lineRule="auto"/>
        <w:ind w:firstLine="567"/>
        <w:jc w:val="both"/>
        <w:rPr>
          <w:sz w:val="27"/>
          <w:szCs w:val="27"/>
          <w:lang w:eastAsia="vi-VN"/>
        </w:rPr>
      </w:pPr>
      <w:r w:rsidRPr="0068117B">
        <w:rPr>
          <w:sz w:val="27"/>
          <w:szCs w:val="27"/>
          <w:lang w:eastAsia="vi-VN"/>
        </w:rPr>
        <w:t>Sau đây là một số điểm mới nổi bật của Luật Tổ chức chính quyền địa phương năm 2025:</w:t>
      </w:r>
    </w:p>
    <w:p w14:paraId="0AD65B8F" w14:textId="2DE59132" w:rsidR="002357CF" w:rsidRPr="0068117B" w:rsidRDefault="00E066FF" w:rsidP="002357CF">
      <w:pPr>
        <w:spacing w:line="276" w:lineRule="auto"/>
        <w:jc w:val="both"/>
        <w:rPr>
          <w:i/>
          <w:sz w:val="27"/>
          <w:szCs w:val="27"/>
          <w:lang w:eastAsia="vi-VN"/>
        </w:rPr>
      </w:pPr>
      <w:r w:rsidRPr="0068117B">
        <w:rPr>
          <w:i/>
          <w:noProof/>
          <w:sz w:val="27"/>
          <w:szCs w:val="27"/>
        </w:rPr>
        <mc:AlternateContent>
          <mc:Choice Requires="wps">
            <w:drawing>
              <wp:anchor distT="0" distB="0" distL="114300" distR="114300" simplePos="0" relativeHeight="251658240" behindDoc="0" locked="0" layoutInCell="1" allowOverlap="1" wp14:anchorId="527DF7CB" wp14:editId="712DE90E">
                <wp:simplePos x="0" y="0"/>
                <wp:positionH relativeFrom="column">
                  <wp:posOffset>31115</wp:posOffset>
                </wp:positionH>
                <wp:positionV relativeFrom="paragraph">
                  <wp:posOffset>39369</wp:posOffset>
                </wp:positionV>
                <wp:extent cx="3019425" cy="771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0194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A402B" w14:textId="77777777" w:rsidR="003D5F75" w:rsidRPr="003D5F75" w:rsidRDefault="003D5F75" w:rsidP="003D5F75">
                            <w:pPr>
                              <w:spacing w:line="276" w:lineRule="auto"/>
                              <w:jc w:val="center"/>
                              <w:rPr>
                                <w:b/>
                              </w:rPr>
                            </w:pPr>
                            <w:r w:rsidRPr="003D5F75">
                              <w:rPr>
                                <w:b/>
                              </w:rPr>
                              <w:t>I</w:t>
                            </w:r>
                            <w:r w:rsidR="0068117B" w:rsidRPr="003D5F75">
                              <w:rPr>
                                <w:b/>
                              </w:rPr>
                              <w:t xml:space="preserve">. </w:t>
                            </w:r>
                            <w:r w:rsidRPr="003D5F75">
                              <w:rPr>
                                <w:b/>
                              </w:rPr>
                              <w:t>V</w:t>
                            </w:r>
                            <w:r w:rsidR="0068117B" w:rsidRPr="003D5F75">
                              <w:rPr>
                                <w:b/>
                              </w:rPr>
                              <w:t xml:space="preserve">ề phân định thẩm quyền, </w:t>
                            </w:r>
                          </w:p>
                          <w:p w14:paraId="0DC422E8" w14:textId="5980958D" w:rsidR="002357CF" w:rsidRPr="003D5F75" w:rsidRDefault="0068117B" w:rsidP="003D5F75">
                            <w:pPr>
                              <w:spacing w:line="276" w:lineRule="auto"/>
                              <w:jc w:val="center"/>
                            </w:pPr>
                            <w:r w:rsidRPr="003D5F75">
                              <w:rPr>
                                <w:b/>
                              </w:rPr>
                              <w:t>phân cấp, phân quyền, ủy quyền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3.1pt;width:237.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" fillcolor="#4472c4 [3204]" strokecolor="#1f3763 [1604]" strokeweight="1pt">
                <v:stroke joinstyle="miter"/>
                <v:textbox>
                  <w:txbxContent>
                    <w:p w14:paraId="41AA402B" w14:textId="77777777" w:rsidR="003D5F75" w:rsidRPr="003D5F75" w:rsidRDefault="003D5F75" w:rsidP="003D5F75">
                      <w:pPr>
                        <w:spacing w:line="276" w:lineRule="auto"/>
                        <w:jc w:val="center"/>
                        <w:rPr>
                          <w:b/>
                        </w:rPr>
                      </w:pPr>
                      <w:r w:rsidRPr="003D5F75">
                        <w:rPr>
                          <w:b/>
                        </w:rPr>
                        <w:t>I</w:t>
                      </w:r>
                      <w:r w:rsidR="0068117B" w:rsidRPr="003D5F75">
                        <w:rPr>
                          <w:b/>
                        </w:rPr>
                        <w:t xml:space="preserve">. </w:t>
                      </w:r>
                      <w:r w:rsidRPr="003D5F75">
                        <w:rPr>
                          <w:b/>
                        </w:rPr>
                        <w:t>V</w:t>
                      </w:r>
                      <w:r w:rsidR="0068117B" w:rsidRPr="003D5F75">
                        <w:rPr>
                          <w:b/>
                        </w:rPr>
                        <w:t xml:space="preserve">ề phân định thẩm quyền, </w:t>
                      </w:r>
                    </w:p>
                    <w:p w14:paraId="0DC422E8" w14:textId="5980958D" w:rsidR="002357CF" w:rsidRPr="003D5F75" w:rsidRDefault="0068117B" w:rsidP="003D5F75">
                      <w:pPr>
                        <w:spacing w:line="276" w:lineRule="auto"/>
                        <w:jc w:val="center"/>
                      </w:pPr>
                      <w:r w:rsidRPr="003D5F75">
                        <w:rPr>
                          <w:b/>
                        </w:rPr>
                        <w:t>phân cấp, phân quyền, ủy quyền</w:t>
                      </w:r>
                    </w:p>
                  </w:txbxContent>
                </v:textbox>
              </v:roundrect>
            </w:pict>
          </mc:Fallback>
        </mc:AlternateContent>
      </w:r>
    </w:p>
    <w:bookmarkEnd w:id="2"/>
    <w:p w14:paraId="667D51D1" w14:textId="09F82DA2" w:rsidR="00075F58" w:rsidRPr="0068117B" w:rsidRDefault="00075F58" w:rsidP="00075F58">
      <w:pPr>
        <w:pStyle w:val="BodyTextIndent3"/>
        <w:rPr>
          <w:sz w:val="27"/>
          <w:szCs w:val="27"/>
        </w:rPr>
      </w:pPr>
    </w:p>
    <w:p w14:paraId="2B2E1F29" w14:textId="77777777" w:rsidR="00E066FF" w:rsidRPr="0068117B" w:rsidRDefault="00E066FF" w:rsidP="00075F58">
      <w:pPr>
        <w:pStyle w:val="BodyTextIndent3"/>
        <w:rPr>
          <w:color w:val="FF0000"/>
          <w:sz w:val="27"/>
          <w:szCs w:val="27"/>
        </w:rPr>
      </w:pPr>
    </w:p>
    <w:p w14:paraId="2E8BCD73" w14:textId="42C8B0D4" w:rsidR="00E066FF" w:rsidRPr="0068117B" w:rsidRDefault="00E066FF" w:rsidP="00E066FF">
      <w:pPr>
        <w:pStyle w:val="BodyTextIndent3"/>
        <w:rPr>
          <w:color w:val="FF0000"/>
          <w:sz w:val="27"/>
          <w:szCs w:val="27"/>
        </w:rPr>
      </w:pPr>
      <w:r w:rsidRPr="0068117B">
        <w:rPr>
          <w:color w:val="FF0000"/>
          <w:sz w:val="27"/>
          <w:szCs w:val="27"/>
        </w:rPr>
        <w:t>1. Về nguyên tắc phân định thẩm quyền</w:t>
      </w:r>
    </w:p>
    <w:p w14:paraId="29FC0580" w14:textId="2C4D5A3E" w:rsidR="008142E6" w:rsidRPr="0068117B" w:rsidRDefault="008142E6" w:rsidP="00075F58">
      <w:pPr>
        <w:pStyle w:val="BodyTextIndent3"/>
        <w:rPr>
          <w:b w:val="0"/>
          <w:color w:val="000000" w:themeColor="text1"/>
          <w:sz w:val="27"/>
          <w:szCs w:val="27"/>
        </w:rPr>
      </w:pPr>
      <w:r w:rsidRPr="0068117B">
        <w:rPr>
          <w:b w:val="0"/>
          <w:color w:val="000000" w:themeColor="text1"/>
          <w:sz w:val="27"/>
          <w:szCs w:val="27"/>
        </w:rPr>
        <w:t xml:space="preserve">Bên cạnh việc kế thừa các nguyên tắc còn phù hợp, Luật Tổ chức chính quyền địa phương năm 2025 đã bổ sung các nguyên tắc nhằm phân định nhiệm vụ, quyền hạn giữa các cấp chính quyền địa phương. Điều 11 quy định khi phân quyền, phân cấp </w:t>
      </w:r>
      <w:r w:rsidRPr="0068117B">
        <w:rPr>
          <w:b w:val="0"/>
          <w:color w:val="000000" w:themeColor="text1"/>
          <w:sz w:val="27"/>
          <w:szCs w:val="27"/>
        </w:rPr>
        <w:lastRenderedPageBreak/>
        <w:t>nhiệm vụ, quyền hạn cho chính quyền địa phương phải bảo đảm 07 nguyên tắc sau:</w:t>
      </w:r>
    </w:p>
    <w:p w14:paraId="3C8E7EFD" w14:textId="5A91B831" w:rsidR="008142E6" w:rsidRPr="0068117B" w:rsidRDefault="008142E6" w:rsidP="008142E6">
      <w:pPr>
        <w:spacing w:before="120" w:after="120" w:line="276" w:lineRule="auto"/>
        <w:ind w:firstLine="425"/>
        <w:jc w:val="both"/>
        <w:rPr>
          <w:sz w:val="27"/>
          <w:szCs w:val="27"/>
          <w:lang w:eastAsia="vi-VN"/>
        </w:rPr>
      </w:pPr>
      <w:r w:rsidRPr="0068117B">
        <w:rPr>
          <w:sz w:val="27"/>
          <w:szCs w:val="27"/>
          <w:lang w:eastAsia="vi-VN"/>
        </w:rPr>
        <w:t>- Xác định rõ nội dung và phạm vi nhiệm vụ, quyền hạn mà chính quyền địa phương được quyết định, tổ chức thực hiện và chịu trách nhiệm về kết quả;</w:t>
      </w:r>
    </w:p>
    <w:p w14:paraId="44DE0EA8" w14:textId="47E8907B" w:rsidR="008142E6" w:rsidRPr="0068117B" w:rsidRDefault="008142E6" w:rsidP="008142E6">
      <w:pPr>
        <w:spacing w:before="120" w:after="120" w:line="276" w:lineRule="auto"/>
        <w:ind w:firstLine="425"/>
        <w:jc w:val="both"/>
        <w:rPr>
          <w:sz w:val="27"/>
          <w:szCs w:val="27"/>
          <w:lang w:eastAsia="vi-VN"/>
        </w:rPr>
      </w:pPr>
      <w:r w:rsidRPr="0068117B">
        <w:rPr>
          <w:sz w:val="27"/>
          <w:szCs w:val="27"/>
          <w:lang w:eastAsia="vi-VN"/>
        </w:rPr>
        <w:t>-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1257BFC3" w14:textId="33B22BDC" w:rsidR="008142E6" w:rsidRPr="0068117B" w:rsidRDefault="008142E6" w:rsidP="008142E6">
      <w:pPr>
        <w:spacing w:before="120" w:after="120" w:line="276" w:lineRule="auto"/>
        <w:ind w:firstLine="425"/>
        <w:jc w:val="both"/>
        <w:rPr>
          <w:sz w:val="27"/>
          <w:szCs w:val="27"/>
          <w:lang w:eastAsia="vi-VN"/>
        </w:rPr>
      </w:pPr>
      <w:r w:rsidRPr="0068117B">
        <w:rPr>
          <w:sz w:val="27"/>
          <w:szCs w:val="27"/>
          <w:lang w:eastAsia="vi-VN"/>
        </w:rPr>
        <w:t>- Phù hợp với đặc điểm nông thôn, đô thị, hải đảo, đơn vị hành chính - kinh tế đặc biệt và khả năng, điều kiện thực hiện nhiệm vụ, quyền hạn của chính quyền địa phương các cấp. Cơ quan, tổ chức, cá nhân được giao thực hiện nhiệm vụ, quyền hạn của cơ quan nhà nước cấp trên được bảo đảm các điều kiện cần thiết để thực hiện nhiệm vụ, quyền hạn đó;</w:t>
      </w:r>
    </w:p>
    <w:p w14:paraId="6593A1F2" w14:textId="7B52B336" w:rsidR="008142E6" w:rsidRPr="0068117B" w:rsidRDefault="008142E6" w:rsidP="00075F58">
      <w:pPr>
        <w:pStyle w:val="BodyTextIndent2"/>
        <w:rPr>
          <w:sz w:val="27"/>
          <w:szCs w:val="27"/>
        </w:rPr>
      </w:pPr>
      <w:r w:rsidRPr="0068117B">
        <w:rPr>
          <w:sz w:val="27"/>
          <w:szCs w:val="27"/>
        </w:rPr>
        <w:t xml:space="preserve">-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w:t>
      </w:r>
      <w:r w:rsidRPr="0068117B">
        <w:rPr>
          <w:sz w:val="27"/>
          <w:szCs w:val="27"/>
        </w:rPr>
        <w:lastRenderedPageBreak/>
        <w:t>phân cấp thực hiện không hiệu quả các nhiệm vụ, quyền hạn được giao;</w:t>
      </w:r>
    </w:p>
    <w:p w14:paraId="4E301B4D" w14:textId="11FD9DE0" w:rsidR="008142E6" w:rsidRPr="0068117B" w:rsidRDefault="008142E6" w:rsidP="00E066FF">
      <w:pPr>
        <w:spacing w:before="120" w:after="120" w:line="276" w:lineRule="auto"/>
        <w:ind w:firstLine="425"/>
        <w:jc w:val="both"/>
        <w:rPr>
          <w:sz w:val="27"/>
          <w:szCs w:val="27"/>
          <w:lang w:eastAsia="vi-VN"/>
        </w:rPr>
      </w:pPr>
      <w:r w:rsidRPr="0068117B">
        <w:rPr>
          <w:sz w:val="27"/>
          <w:szCs w:val="27"/>
          <w:lang w:eastAsia="vi-VN"/>
        </w:rPr>
        <w:t xml:space="preserve">- Bảo đảm tính thống nhất trong tổ chức thi hành Hiến pháp </w:t>
      </w:r>
      <w:r w:rsidR="00075F58" w:rsidRPr="0068117B">
        <w:rPr>
          <w:sz w:val="27"/>
          <w:szCs w:val="27"/>
          <w:lang w:eastAsia="vi-VN"/>
        </w:rPr>
        <w:t>và pháp luật;</w:t>
      </w:r>
    </w:p>
    <w:p w14:paraId="3B60D844" w14:textId="4499DD70" w:rsidR="008142E6" w:rsidRPr="0068117B" w:rsidRDefault="00075F58" w:rsidP="00075F58">
      <w:pPr>
        <w:spacing w:before="120" w:after="120" w:line="276" w:lineRule="auto"/>
        <w:ind w:firstLine="425"/>
        <w:jc w:val="both"/>
        <w:rPr>
          <w:sz w:val="27"/>
          <w:szCs w:val="27"/>
          <w:lang w:eastAsia="vi-VN"/>
        </w:rPr>
      </w:pPr>
      <w:r w:rsidRPr="0068117B">
        <w:rPr>
          <w:sz w:val="27"/>
          <w:szCs w:val="27"/>
          <w:lang w:eastAsia="vi-VN"/>
        </w:rPr>
        <w:t>-</w:t>
      </w:r>
      <w:r w:rsidR="008142E6" w:rsidRPr="0068117B">
        <w:rPr>
          <w:sz w:val="27"/>
          <w:szCs w:val="27"/>
          <w:lang w:eastAsia="vi-VN"/>
        </w:rPr>
        <w:t xml:space="preserve"> Đáp ứng yêu cầu quản trị địa phương; ứng dụng khoa học, công nghệ, đổi</w:t>
      </w:r>
      <w:r w:rsidRPr="0068117B">
        <w:rPr>
          <w:sz w:val="27"/>
          <w:szCs w:val="27"/>
          <w:lang w:eastAsia="vi-VN"/>
        </w:rPr>
        <w:t xml:space="preserve"> mới sáng tạo và chuyển đổi số;</w:t>
      </w:r>
    </w:p>
    <w:p w14:paraId="2046A241" w14:textId="0015671B" w:rsidR="00E066FF" w:rsidRPr="0068117B" w:rsidRDefault="00075F58" w:rsidP="00E066FF">
      <w:pPr>
        <w:spacing w:before="120" w:after="120" w:line="276" w:lineRule="auto"/>
        <w:ind w:firstLine="425"/>
        <w:jc w:val="both"/>
        <w:rPr>
          <w:sz w:val="27"/>
          <w:szCs w:val="27"/>
          <w:lang w:eastAsia="vi-VN"/>
        </w:rPr>
      </w:pPr>
      <w:r w:rsidRPr="0068117B">
        <w:rPr>
          <w:sz w:val="27"/>
          <w:szCs w:val="27"/>
          <w:lang w:eastAsia="vi-VN"/>
        </w:rPr>
        <w:t>-</w:t>
      </w:r>
      <w:r w:rsidR="008142E6" w:rsidRPr="0068117B">
        <w:rPr>
          <w:sz w:val="27"/>
          <w:szCs w:val="27"/>
          <w:lang w:eastAsia="vi-VN"/>
        </w:rPr>
        <w:t xml:space="preserve"> Những vấn đề liên quan đến phạm vi từ 02 đơn vị hành chính cấp xã trở lên thì thuộc thẩm quyền giải quyết của chính quyền địa phương cấp huyện; những vấn đề liên quan đến phạm vi từ 02 đơn vị hành chính cấp huyện trở lên thì thuộc thẩm quyền giải quyết của chính quyền địa phương cấp tỉnh; những vấn đề liên quan đến phạm vi từ 02 đơn vị hành chính cấp tỉnh trở lên thì thuộc thẩm quyền giải quyết của cơ quan nhà nước ở trung ương, trừ trường hợp luật, nghị quyế</w:t>
      </w:r>
      <w:r w:rsidR="00E066FF" w:rsidRPr="0068117B">
        <w:rPr>
          <w:sz w:val="27"/>
          <w:szCs w:val="27"/>
          <w:lang w:eastAsia="vi-VN"/>
        </w:rPr>
        <w:t>t của Quốc hội có quy định khác.</w:t>
      </w:r>
    </w:p>
    <w:p w14:paraId="21CD5EC5" w14:textId="77777777" w:rsidR="00E066FF" w:rsidRPr="0068117B" w:rsidRDefault="00E066FF" w:rsidP="00E066FF">
      <w:pPr>
        <w:spacing w:before="120" w:after="120" w:line="276" w:lineRule="auto"/>
        <w:ind w:firstLine="425"/>
        <w:jc w:val="both"/>
        <w:rPr>
          <w:b/>
          <w:color w:val="FF0000"/>
          <w:sz w:val="27"/>
          <w:szCs w:val="27"/>
          <w:lang w:eastAsia="vi-VN"/>
        </w:rPr>
      </w:pPr>
      <w:r w:rsidRPr="0068117B">
        <w:rPr>
          <w:b/>
          <w:color w:val="FF0000"/>
          <w:sz w:val="27"/>
          <w:szCs w:val="27"/>
          <w:lang w:eastAsia="vi-VN"/>
        </w:rPr>
        <w:t>2. Về phân quyền</w:t>
      </w:r>
    </w:p>
    <w:p w14:paraId="541DCB46" w14:textId="206B70B8"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xml:space="preserve"> Điều 12, Luật Tổ chức chính quyền địa phương năm 2025 quy định rõ các yêu cầu, điều kiện của việc phân quyền như:</w:t>
      </w:r>
    </w:p>
    <w:p w14:paraId="6CC7184F" w14:textId="55F8CAA9"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xml:space="preserve">- Việc phân quyền cho chính quyền địa phương các cấp phải được quy định trong luật, nghị quyết của Quốc hội; </w:t>
      </w:r>
    </w:p>
    <w:p w14:paraId="6CB30BBD" w14:textId="23B82E8D" w:rsidR="00E066FF" w:rsidRPr="0068117B" w:rsidRDefault="00E066FF" w:rsidP="00650ED3">
      <w:pPr>
        <w:spacing w:before="120" w:after="120" w:line="276" w:lineRule="auto"/>
        <w:ind w:firstLine="425"/>
        <w:jc w:val="both"/>
        <w:rPr>
          <w:sz w:val="27"/>
          <w:szCs w:val="27"/>
          <w:lang w:eastAsia="vi-VN"/>
        </w:rPr>
      </w:pPr>
      <w:r w:rsidRPr="0068117B">
        <w:rPr>
          <w:sz w:val="27"/>
          <w:szCs w:val="27"/>
          <w:lang w:eastAsia="vi-VN"/>
        </w:rPr>
        <w:lastRenderedPageBreak/>
        <w:t>- Chính quyền địa phương tự chủ trong việc ra quyết định, tổ chức thi hành và tự chịu trách nhiệm trong phạm vi nhiệm vụ, quyền hạn được</w:t>
      </w:r>
      <w:r w:rsidR="00650ED3" w:rsidRPr="0068117B">
        <w:rPr>
          <w:sz w:val="27"/>
          <w:szCs w:val="27"/>
          <w:lang w:eastAsia="vi-VN"/>
        </w:rPr>
        <w:t xml:space="preserve"> phân quyền; </w:t>
      </w:r>
    </w:p>
    <w:p w14:paraId="509E3BD2" w14:textId="76824327"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Cơ quan nhà nước cấp trên trong phạm vi nhiệm vụ, quyền hạn của mình có trách nhiệm kiểm tra, thanh tra, giám sát về tính hợp hiến, hợp pháp trong việc chính quyền địa phương các cấp thực hiện các nhiệm vụ, quyền hạn được phân quyền.</w:t>
      </w:r>
    </w:p>
    <w:p w14:paraId="39C380D8" w14:textId="187B6354" w:rsidR="00E066FF" w:rsidRPr="0068117B" w:rsidRDefault="00E066FF" w:rsidP="00E066FF">
      <w:pPr>
        <w:spacing w:before="120" w:after="120" w:line="276" w:lineRule="auto"/>
        <w:ind w:firstLine="425"/>
        <w:jc w:val="both"/>
        <w:rPr>
          <w:b/>
          <w:color w:val="FF0000"/>
          <w:sz w:val="27"/>
          <w:szCs w:val="27"/>
          <w:lang w:eastAsia="vi-VN"/>
        </w:rPr>
      </w:pPr>
      <w:r w:rsidRPr="0068117B">
        <w:rPr>
          <w:b/>
          <w:color w:val="FF0000"/>
          <w:sz w:val="27"/>
          <w:szCs w:val="27"/>
          <w:lang w:eastAsia="vi-VN"/>
        </w:rPr>
        <w:t xml:space="preserve">3. Về phân cấp </w:t>
      </w:r>
    </w:p>
    <w:p w14:paraId="5AC3D8A1" w14:textId="4968F333"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xml:space="preserve">Điều 13, Luật Tổ chức chính quyền địa phương năm 2025 quy định một số điểm mới như: </w:t>
      </w:r>
    </w:p>
    <w:p w14:paraId="7936B749" w14:textId="3107FD39"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xml:space="preserve">- Quy định rõ chủ thể phân cấp và chủ thể nhận phân cấp; </w:t>
      </w:r>
    </w:p>
    <w:p w14:paraId="1880417E" w14:textId="4643CBBD"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t xml:space="preserve">- Quy định trách nhiệm của cơ quan phân cấp trong việc bảo đảm các điều kiện để thực hiện việc phân cấp; </w:t>
      </w:r>
    </w:p>
    <w:p w14:paraId="15824334" w14:textId="5F531DC5" w:rsidR="00E066FF" w:rsidRPr="0068117B" w:rsidRDefault="0068117B" w:rsidP="00E066FF">
      <w:pPr>
        <w:spacing w:before="120" w:after="120" w:line="276" w:lineRule="auto"/>
        <w:ind w:firstLine="425"/>
        <w:jc w:val="both"/>
        <w:rPr>
          <w:sz w:val="27"/>
          <w:szCs w:val="27"/>
          <w:lang w:eastAsia="vi-VN"/>
        </w:rPr>
      </w:pPr>
      <w:r>
        <w:rPr>
          <w:b/>
          <w:noProof/>
          <w:color w:val="000000" w:themeColor="text1"/>
        </w:rPr>
        <mc:AlternateContent>
          <mc:Choice Requires="wps">
            <w:drawing>
              <wp:anchor distT="0" distB="0" distL="114300" distR="114300" simplePos="0" relativeHeight="251662336" behindDoc="0" locked="0" layoutInCell="1" allowOverlap="1" wp14:anchorId="03D91807" wp14:editId="5FF8A286">
                <wp:simplePos x="0" y="0"/>
                <wp:positionH relativeFrom="column">
                  <wp:posOffset>3355340</wp:posOffset>
                </wp:positionH>
                <wp:positionV relativeFrom="paragraph">
                  <wp:posOffset>377190</wp:posOffset>
                </wp:positionV>
                <wp:extent cx="2990850" cy="1047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990850" cy="1047750"/>
                        </a:xfrm>
                        <a:prstGeom prst="rect">
                          <a:avLst/>
                        </a:prstGeom>
                        <a:solidFill>
                          <a:schemeClr val="lt1"/>
                        </a:solidFill>
                        <a:ln w="6350">
                          <a:solidFill>
                            <a:prstClr val="black"/>
                          </a:solidFill>
                        </a:ln>
                      </wps:spPr>
                      <wps:txbx>
                        <w:txbxContent>
                          <w:p w14:paraId="1A2E704B" w14:textId="77777777" w:rsidR="0068117B" w:rsidRPr="004305BF" w:rsidRDefault="0068117B" w:rsidP="0068117B">
                            <w:pPr>
                              <w:pStyle w:val="BodyText"/>
                              <w:spacing w:after="0" w:line="276" w:lineRule="auto"/>
                              <w:jc w:val="center"/>
                              <w:rPr>
                                <w:b/>
                                <w:i/>
                                <w:color w:val="FF0000"/>
                                <w:sz w:val="22"/>
                                <w:szCs w:val="22"/>
                              </w:rPr>
                            </w:pPr>
                            <w:r w:rsidRPr="004305BF">
                              <w:rPr>
                                <w:b/>
                                <w:i/>
                                <w:color w:val="FF0000"/>
                                <w:sz w:val="22"/>
                                <w:szCs w:val="22"/>
                              </w:rPr>
                              <w:t>Luật Tổ chức chính quyền địa phương</w:t>
                            </w:r>
                          </w:p>
                          <w:p w14:paraId="4A9CA582" w14:textId="77777777" w:rsidR="0028386C" w:rsidRDefault="0068117B" w:rsidP="0068117B">
                            <w:pPr>
                              <w:pStyle w:val="BodyText"/>
                              <w:spacing w:after="0" w:line="276" w:lineRule="auto"/>
                              <w:jc w:val="center"/>
                              <w:rPr>
                                <w:b/>
                                <w:i/>
                                <w:color w:val="FF0000"/>
                                <w:sz w:val="22"/>
                                <w:szCs w:val="22"/>
                              </w:rPr>
                            </w:pPr>
                            <w:r w:rsidRPr="004305BF">
                              <w:rPr>
                                <w:b/>
                                <w:i/>
                                <w:color w:val="FF0000"/>
                                <w:sz w:val="22"/>
                                <w:szCs w:val="22"/>
                              </w:rPr>
                              <w:t xml:space="preserve"> số 65/2025/QH15 được Quốc hội</w:t>
                            </w:r>
                            <w:r w:rsidR="0028386C">
                              <w:rPr>
                                <w:b/>
                                <w:i/>
                                <w:color w:val="FF0000"/>
                                <w:sz w:val="22"/>
                                <w:szCs w:val="22"/>
                              </w:rPr>
                              <w:t xml:space="preserve"> khóa XV</w:t>
                            </w:r>
                            <w:r w:rsidRPr="004305BF">
                              <w:rPr>
                                <w:b/>
                                <w:i/>
                                <w:color w:val="FF0000"/>
                                <w:sz w:val="22"/>
                                <w:szCs w:val="22"/>
                              </w:rPr>
                              <w:t xml:space="preserve"> thông qua ngày 19/02/2025 tại kỳ họp </w:t>
                            </w:r>
                          </w:p>
                          <w:p w14:paraId="642E507A" w14:textId="1674A049" w:rsidR="0068117B" w:rsidRPr="004305BF" w:rsidRDefault="0068117B" w:rsidP="0028386C">
                            <w:pPr>
                              <w:pStyle w:val="BodyText"/>
                              <w:spacing w:after="0" w:line="276" w:lineRule="auto"/>
                              <w:jc w:val="center"/>
                              <w:rPr>
                                <w:b/>
                                <w:i/>
                                <w:color w:val="FF0000"/>
                                <w:sz w:val="22"/>
                                <w:szCs w:val="22"/>
                              </w:rPr>
                            </w:pPr>
                            <w:r w:rsidRPr="004305BF">
                              <w:rPr>
                                <w:b/>
                                <w:i/>
                                <w:color w:val="FF0000"/>
                                <w:sz w:val="22"/>
                                <w:szCs w:val="22"/>
                              </w:rPr>
                              <w:t>bất thường lần thứ 9, có hiệu lực thi hành</w:t>
                            </w:r>
                          </w:p>
                          <w:p w14:paraId="7B7351CF" w14:textId="1D125AB3" w:rsidR="0068117B" w:rsidRPr="004305BF" w:rsidRDefault="0068117B" w:rsidP="0068117B">
                            <w:pPr>
                              <w:pStyle w:val="BodyText"/>
                              <w:spacing w:after="0" w:line="276" w:lineRule="auto"/>
                              <w:jc w:val="center"/>
                              <w:rPr>
                                <w:b/>
                                <w:i/>
                                <w:color w:val="FF0000"/>
                                <w:sz w:val="22"/>
                                <w:szCs w:val="22"/>
                              </w:rPr>
                            </w:pPr>
                            <w:r w:rsidRPr="004305BF">
                              <w:rPr>
                                <w:b/>
                                <w:i/>
                                <w:color w:val="FF0000"/>
                                <w:sz w:val="22"/>
                                <w:szCs w:val="22"/>
                              </w:rPr>
                              <w:t xml:space="preserve"> từ ngày 01/3/2025.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1807" id="Text Box 9" o:spid="_x0000_s1028" type="#_x0000_t202" style="position:absolute;left:0;text-align:left;margin-left:264.2pt;margin-top:29.7pt;width:235.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" fillcolor="white [3201]" strokeweight=".5pt">
                <v:textbox>
                  <w:txbxContent>
                    <w:p w14:paraId="1A2E704B" w14:textId="77777777" w:rsidR="0068117B" w:rsidRPr="004305BF" w:rsidRDefault="0068117B" w:rsidP="0068117B">
                      <w:pPr>
                        <w:pStyle w:val="BodyText"/>
                        <w:spacing w:after="0" w:line="276" w:lineRule="auto"/>
                        <w:jc w:val="center"/>
                        <w:rPr>
                          <w:b/>
                          <w:i/>
                          <w:color w:val="FF0000"/>
                          <w:sz w:val="22"/>
                          <w:szCs w:val="22"/>
                        </w:rPr>
                      </w:pPr>
                      <w:r w:rsidRPr="004305BF">
                        <w:rPr>
                          <w:b/>
                          <w:i/>
                          <w:color w:val="FF0000"/>
                          <w:sz w:val="22"/>
                          <w:szCs w:val="22"/>
                        </w:rPr>
                        <w:t>Luật Tổ chức chính quyền địa phương</w:t>
                      </w:r>
                    </w:p>
                    <w:p w14:paraId="4A9CA582" w14:textId="77777777" w:rsidR="0028386C" w:rsidRDefault="0068117B" w:rsidP="0068117B">
                      <w:pPr>
                        <w:pStyle w:val="BodyText"/>
                        <w:spacing w:after="0" w:line="276" w:lineRule="auto"/>
                        <w:jc w:val="center"/>
                        <w:rPr>
                          <w:b/>
                          <w:i/>
                          <w:color w:val="FF0000"/>
                          <w:sz w:val="22"/>
                          <w:szCs w:val="22"/>
                        </w:rPr>
                      </w:pPr>
                      <w:r w:rsidRPr="004305BF">
                        <w:rPr>
                          <w:b/>
                          <w:i/>
                          <w:color w:val="FF0000"/>
                          <w:sz w:val="22"/>
                          <w:szCs w:val="22"/>
                        </w:rPr>
                        <w:t xml:space="preserve"> số 65/2025/QH15 được Quốc hội</w:t>
                      </w:r>
                      <w:r w:rsidR="0028386C">
                        <w:rPr>
                          <w:b/>
                          <w:i/>
                          <w:color w:val="FF0000"/>
                          <w:sz w:val="22"/>
                          <w:szCs w:val="22"/>
                        </w:rPr>
                        <w:t xml:space="preserve"> khóa XV</w:t>
                      </w:r>
                      <w:r w:rsidRPr="004305BF">
                        <w:rPr>
                          <w:b/>
                          <w:i/>
                          <w:color w:val="FF0000"/>
                          <w:sz w:val="22"/>
                          <w:szCs w:val="22"/>
                        </w:rPr>
                        <w:t xml:space="preserve"> thông qua ngày 19/02/2025 tại kỳ họp </w:t>
                      </w:r>
                    </w:p>
                    <w:p w14:paraId="642E507A" w14:textId="1674A049" w:rsidR="0068117B" w:rsidRPr="004305BF" w:rsidRDefault="0068117B" w:rsidP="0028386C">
                      <w:pPr>
                        <w:pStyle w:val="BodyText"/>
                        <w:spacing w:after="0" w:line="276" w:lineRule="auto"/>
                        <w:jc w:val="center"/>
                        <w:rPr>
                          <w:b/>
                          <w:i/>
                          <w:color w:val="FF0000"/>
                          <w:sz w:val="22"/>
                          <w:szCs w:val="22"/>
                        </w:rPr>
                      </w:pPr>
                      <w:r w:rsidRPr="004305BF">
                        <w:rPr>
                          <w:b/>
                          <w:i/>
                          <w:color w:val="FF0000"/>
                          <w:sz w:val="22"/>
                          <w:szCs w:val="22"/>
                        </w:rPr>
                        <w:t>bất thường lần thứ 9, có hiệu lực thi hành</w:t>
                      </w:r>
                    </w:p>
                    <w:p w14:paraId="7B7351CF" w14:textId="1D125AB3" w:rsidR="0068117B" w:rsidRPr="004305BF" w:rsidRDefault="0068117B" w:rsidP="0068117B">
                      <w:pPr>
                        <w:pStyle w:val="BodyText"/>
                        <w:spacing w:after="0" w:line="276" w:lineRule="auto"/>
                        <w:jc w:val="center"/>
                        <w:rPr>
                          <w:b/>
                          <w:i/>
                          <w:color w:val="FF0000"/>
                          <w:sz w:val="22"/>
                          <w:szCs w:val="22"/>
                        </w:rPr>
                      </w:pPr>
                      <w:r w:rsidRPr="004305BF">
                        <w:rPr>
                          <w:b/>
                          <w:i/>
                          <w:color w:val="FF0000"/>
                          <w:sz w:val="22"/>
                          <w:szCs w:val="22"/>
                        </w:rPr>
                        <w:t xml:space="preserve"> từ ngày 01/3/2025.</w:t>
                      </w:r>
                    </w:p>
                  </w:txbxContent>
                </v:textbox>
              </v:shape>
            </w:pict>
          </mc:Fallback>
        </mc:AlternateContent>
      </w:r>
      <w:r w:rsidR="00E066FF" w:rsidRPr="0068117B">
        <w:rPr>
          <w:sz w:val="27"/>
          <w:szCs w:val="27"/>
          <w:lang w:eastAsia="vi-VN"/>
        </w:rPr>
        <w:t xml:space="preserve">- Cơ quan nhận phân cấp chịu trách nhiệm trước pháp luật, trước cơ quan phân cấp về kết quả thực hiện nhiệm vụ, quyền hạn được phân cấp; </w:t>
      </w:r>
    </w:p>
    <w:p w14:paraId="0A00D1AD" w14:textId="6DD3B5CB" w:rsidR="00E066FF" w:rsidRPr="0068117B" w:rsidRDefault="0028386C" w:rsidP="00E066FF">
      <w:pPr>
        <w:spacing w:before="120" w:after="120" w:line="276" w:lineRule="auto"/>
        <w:ind w:firstLine="425"/>
        <w:jc w:val="both"/>
        <w:rPr>
          <w:sz w:val="27"/>
          <w:szCs w:val="27"/>
          <w:lang w:eastAsia="vi-VN"/>
        </w:rPr>
      </w:pPr>
      <w:r>
        <w:rPr>
          <w:noProof/>
          <w:sz w:val="27"/>
          <w:szCs w:val="27"/>
        </w:rPr>
        <mc:AlternateContent>
          <mc:Choice Requires="wps">
            <w:drawing>
              <wp:anchor distT="0" distB="0" distL="114300" distR="114300" simplePos="0" relativeHeight="251663360" behindDoc="0" locked="0" layoutInCell="1" allowOverlap="1" wp14:anchorId="6DF217D1" wp14:editId="24C57871">
                <wp:simplePos x="0" y="0"/>
                <wp:positionH relativeFrom="column">
                  <wp:posOffset>3926840</wp:posOffset>
                </wp:positionH>
                <wp:positionV relativeFrom="paragraph">
                  <wp:posOffset>718185</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444B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9.2pt,56.55pt" to="459.2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YDtgEAAMMDAAAOAAAAZHJzL2Uyb0RvYy54bWysU8GOEzEMvSPxD1HudKarBc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" strokecolor="#4472c4 [3204]" strokeweight=".5pt">
                <v:stroke joinstyle="miter"/>
              </v:line>
            </w:pict>
          </mc:Fallback>
        </mc:AlternateContent>
      </w:r>
      <w:r w:rsidR="00E066FF" w:rsidRPr="0068117B">
        <w:rPr>
          <w:sz w:val="27"/>
          <w:szCs w:val="27"/>
          <w:lang w:eastAsia="vi-VN"/>
        </w:rPr>
        <w:t xml:space="preserve">- Không được phân cấp tiếp nhiệm vụ, quyền hạn mà mình nhận phân cấp; </w:t>
      </w:r>
    </w:p>
    <w:p w14:paraId="2753863F" w14:textId="0690C347" w:rsidR="00E066FF" w:rsidRPr="0068117B" w:rsidRDefault="00E066FF" w:rsidP="00E066FF">
      <w:pPr>
        <w:spacing w:before="120" w:after="120" w:line="276" w:lineRule="auto"/>
        <w:ind w:firstLine="425"/>
        <w:jc w:val="both"/>
        <w:rPr>
          <w:sz w:val="27"/>
          <w:szCs w:val="27"/>
          <w:lang w:eastAsia="vi-VN"/>
        </w:rPr>
      </w:pPr>
      <w:r w:rsidRPr="0068117B">
        <w:rPr>
          <w:sz w:val="27"/>
          <w:szCs w:val="27"/>
          <w:lang w:eastAsia="vi-VN"/>
        </w:rPr>
        <w:lastRenderedPageBreak/>
        <w:t>- Quy định về việc điều chỉnh thủ tục hành chính trong trường hợp thực hiện phân cấp.</w:t>
      </w:r>
    </w:p>
    <w:p w14:paraId="7BB21134" w14:textId="212E65FD" w:rsidR="00E066FF" w:rsidRPr="0068117B" w:rsidRDefault="00E066FF" w:rsidP="00650ED3">
      <w:pPr>
        <w:spacing w:before="120" w:after="120" w:line="276" w:lineRule="auto"/>
        <w:ind w:firstLine="425"/>
        <w:jc w:val="both"/>
        <w:rPr>
          <w:b/>
          <w:color w:val="FF0000"/>
          <w:sz w:val="27"/>
          <w:szCs w:val="27"/>
          <w:lang w:eastAsia="vi-VN"/>
        </w:rPr>
      </w:pPr>
      <w:r w:rsidRPr="0068117B">
        <w:rPr>
          <w:b/>
          <w:color w:val="FF0000"/>
          <w:sz w:val="27"/>
          <w:szCs w:val="27"/>
          <w:lang w:eastAsia="vi-VN"/>
        </w:rPr>
        <w:t xml:space="preserve">4. Về </w:t>
      </w:r>
      <w:r w:rsidR="00650ED3" w:rsidRPr="0068117B">
        <w:rPr>
          <w:b/>
          <w:color w:val="FF0000"/>
          <w:sz w:val="27"/>
          <w:szCs w:val="27"/>
          <w:lang w:eastAsia="vi-VN"/>
        </w:rPr>
        <w:t>ủy quyền</w:t>
      </w:r>
    </w:p>
    <w:p w14:paraId="4C8B569F" w14:textId="70A8C9D3" w:rsidR="00650ED3" w:rsidRPr="0068117B" w:rsidRDefault="00707CB2" w:rsidP="00AE1A3B">
      <w:pPr>
        <w:spacing w:before="120" w:after="120" w:line="276" w:lineRule="auto"/>
        <w:ind w:firstLine="567"/>
        <w:jc w:val="both"/>
        <w:rPr>
          <w:sz w:val="27"/>
          <w:szCs w:val="27"/>
          <w:lang w:eastAsia="vi-VN"/>
        </w:rPr>
      </w:pPr>
      <w:r w:rsidRPr="0068117B">
        <w:rPr>
          <w:sz w:val="27"/>
          <w:szCs w:val="27"/>
          <w:lang w:eastAsia="vi-VN"/>
        </w:rPr>
        <w:t xml:space="preserve"> Điều 14, Luật Tổ chức chính quyền địa phương năm 2025 quy định:</w:t>
      </w:r>
    </w:p>
    <w:p w14:paraId="0CF1EEA3" w14:textId="3CCBA9D4" w:rsidR="00650ED3" w:rsidRPr="0068117B" w:rsidRDefault="00650ED3" w:rsidP="00AE1A3B">
      <w:pPr>
        <w:spacing w:before="120" w:after="120" w:line="276" w:lineRule="auto"/>
        <w:ind w:firstLine="567"/>
        <w:jc w:val="both"/>
        <w:rPr>
          <w:sz w:val="27"/>
          <w:szCs w:val="27"/>
          <w:lang w:eastAsia="vi-VN"/>
        </w:rPr>
      </w:pPr>
      <w:r w:rsidRPr="0068117B">
        <w:rPr>
          <w:sz w:val="27"/>
          <w:szCs w:val="27"/>
          <w:lang w:eastAsia="vi-VN"/>
        </w:rPr>
        <w:t xml:space="preserve">- Làm rõ và mở rộng phạm vi chủ thể uỷ quyền và chủ thể nhận uỷ quyền; </w:t>
      </w:r>
    </w:p>
    <w:p w14:paraId="517B6814" w14:textId="46983058" w:rsidR="00650ED3" w:rsidRPr="0068117B" w:rsidRDefault="00650ED3" w:rsidP="00AE1A3B">
      <w:pPr>
        <w:spacing w:before="120" w:after="120" w:line="276" w:lineRule="auto"/>
        <w:ind w:firstLine="567"/>
        <w:jc w:val="both"/>
        <w:rPr>
          <w:sz w:val="27"/>
          <w:szCs w:val="27"/>
          <w:lang w:eastAsia="vi-VN"/>
        </w:rPr>
      </w:pPr>
      <w:r w:rsidRPr="0068117B">
        <w:rPr>
          <w:sz w:val="27"/>
          <w:szCs w:val="27"/>
          <w:lang w:eastAsia="vi-VN"/>
        </w:rPr>
        <w:t>- Quy định rõ yêu cầu của việc uỷ quyền (uỷ quyền phải bằng văn bản của cơ quan uỷ quyền; văn bản phải quy định rõ nội dung, phạm vi, thời hạn uỷ quyền);</w:t>
      </w:r>
    </w:p>
    <w:p w14:paraId="77DD98AB" w14:textId="6BF5B413" w:rsidR="00650ED3" w:rsidRPr="0068117B" w:rsidRDefault="00650ED3" w:rsidP="00AE1A3B">
      <w:pPr>
        <w:spacing w:before="120" w:after="120" w:line="276" w:lineRule="auto"/>
        <w:ind w:firstLine="567"/>
        <w:jc w:val="both"/>
        <w:rPr>
          <w:sz w:val="27"/>
          <w:szCs w:val="27"/>
          <w:lang w:eastAsia="vi-VN"/>
        </w:rPr>
      </w:pPr>
      <w:r w:rsidRPr="0068117B">
        <w:rPr>
          <w:sz w:val="27"/>
          <w:szCs w:val="27"/>
          <w:lang w:eastAsia="vi-VN"/>
        </w:rPr>
        <w:t xml:space="preserve">- Quy định rõ trách nhiệm của các cơ quan trong việc uỷ quyền và thực hiện nhiệm vụ uỷ quyền; </w:t>
      </w:r>
    </w:p>
    <w:p w14:paraId="010CB8BA" w14:textId="03919720" w:rsidR="00E066FF" w:rsidRPr="0068117B" w:rsidRDefault="00650ED3" w:rsidP="00AE1A3B">
      <w:pPr>
        <w:spacing w:before="120" w:after="120" w:line="276" w:lineRule="auto"/>
        <w:ind w:firstLine="567"/>
        <w:jc w:val="both"/>
        <w:rPr>
          <w:sz w:val="27"/>
          <w:szCs w:val="27"/>
          <w:lang w:eastAsia="vi-VN"/>
        </w:rPr>
      </w:pPr>
      <w:r w:rsidRPr="0068117B">
        <w:rPr>
          <w:sz w:val="27"/>
          <w:szCs w:val="27"/>
          <w:lang w:eastAsia="vi-VN"/>
        </w:rPr>
        <w:t>- Quy định việc</w:t>
      </w:r>
      <w:bookmarkStart w:id="4" w:name="_GoBack"/>
      <w:bookmarkEnd w:id="4"/>
      <w:r w:rsidRPr="0068117B">
        <w:rPr>
          <w:sz w:val="27"/>
          <w:szCs w:val="27"/>
          <w:lang w:eastAsia="vi-VN"/>
        </w:rPr>
        <w:t xml:space="preserve"> sử dụng con dấu và hình thức văn bản khi thực hiện nhiệm vụ uỷ quyền, việc điều chỉnh thủ tục hành chính trong trường hợp thực hiện uỷ quyền.</w:t>
      </w:r>
      <w:r w:rsidR="003D5F75">
        <w:rPr>
          <w:sz w:val="27"/>
          <w:szCs w:val="27"/>
          <w:lang w:eastAsia="vi-VN"/>
        </w:rPr>
        <w:t>/.</w:t>
      </w:r>
    </w:p>
    <w:sectPr w:rsidR="00E066FF" w:rsidRPr="0068117B"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611DA"/>
    <w:rsid w:val="00064963"/>
    <w:rsid w:val="00064E11"/>
    <w:rsid w:val="00075F58"/>
    <w:rsid w:val="00091BF6"/>
    <w:rsid w:val="00094409"/>
    <w:rsid w:val="000B24A0"/>
    <w:rsid w:val="000C0D4D"/>
    <w:rsid w:val="000C1BC8"/>
    <w:rsid w:val="000D34C4"/>
    <w:rsid w:val="000D6C2B"/>
    <w:rsid w:val="001006A1"/>
    <w:rsid w:val="00100F45"/>
    <w:rsid w:val="001016FD"/>
    <w:rsid w:val="0010276C"/>
    <w:rsid w:val="0012482D"/>
    <w:rsid w:val="001638F1"/>
    <w:rsid w:val="001644FA"/>
    <w:rsid w:val="0018542D"/>
    <w:rsid w:val="00195656"/>
    <w:rsid w:val="00223839"/>
    <w:rsid w:val="00224ECD"/>
    <w:rsid w:val="002357CF"/>
    <w:rsid w:val="00244A8B"/>
    <w:rsid w:val="00251D38"/>
    <w:rsid w:val="002550B6"/>
    <w:rsid w:val="00256E67"/>
    <w:rsid w:val="00260CCA"/>
    <w:rsid w:val="0028386C"/>
    <w:rsid w:val="002841F7"/>
    <w:rsid w:val="00287B0F"/>
    <w:rsid w:val="00291636"/>
    <w:rsid w:val="002A3ABE"/>
    <w:rsid w:val="002A75CB"/>
    <w:rsid w:val="002B23FC"/>
    <w:rsid w:val="002D31FA"/>
    <w:rsid w:val="002E2CEC"/>
    <w:rsid w:val="002E4E0D"/>
    <w:rsid w:val="002E76CB"/>
    <w:rsid w:val="002F0557"/>
    <w:rsid w:val="002F315C"/>
    <w:rsid w:val="002F5A81"/>
    <w:rsid w:val="002F60D0"/>
    <w:rsid w:val="003155E8"/>
    <w:rsid w:val="003158E4"/>
    <w:rsid w:val="00330425"/>
    <w:rsid w:val="00333E2E"/>
    <w:rsid w:val="0033470A"/>
    <w:rsid w:val="0034410F"/>
    <w:rsid w:val="003441E5"/>
    <w:rsid w:val="00346E64"/>
    <w:rsid w:val="00352EEA"/>
    <w:rsid w:val="00354C83"/>
    <w:rsid w:val="00356195"/>
    <w:rsid w:val="0038601B"/>
    <w:rsid w:val="003B0B60"/>
    <w:rsid w:val="003B12A7"/>
    <w:rsid w:val="003B5F27"/>
    <w:rsid w:val="003C04BA"/>
    <w:rsid w:val="003D10EE"/>
    <w:rsid w:val="003D2045"/>
    <w:rsid w:val="003D2605"/>
    <w:rsid w:val="003D5F75"/>
    <w:rsid w:val="003D78BD"/>
    <w:rsid w:val="003E3C74"/>
    <w:rsid w:val="003E404A"/>
    <w:rsid w:val="003E4445"/>
    <w:rsid w:val="003F3FC1"/>
    <w:rsid w:val="003F7D50"/>
    <w:rsid w:val="004030B7"/>
    <w:rsid w:val="004115C2"/>
    <w:rsid w:val="004305BF"/>
    <w:rsid w:val="00436295"/>
    <w:rsid w:val="00437CEC"/>
    <w:rsid w:val="00440E7A"/>
    <w:rsid w:val="004616DA"/>
    <w:rsid w:val="00461D10"/>
    <w:rsid w:val="00466A3A"/>
    <w:rsid w:val="00472D69"/>
    <w:rsid w:val="004762A6"/>
    <w:rsid w:val="004928E0"/>
    <w:rsid w:val="0049391C"/>
    <w:rsid w:val="004A369D"/>
    <w:rsid w:val="004A6AC2"/>
    <w:rsid w:val="004B6C09"/>
    <w:rsid w:val="004C0F5B"/>
    <w:rsid w:val="004D0139"/>
    <w:rsid w:val="004E3078"/>
    <w:rsid w:val="004E60EE"/>
    <w:rsid w:val="004E70E3"/>
    <w:rsid w:val="004F1A3D"/>
    <w:rsid w:val="00506DAE"/>
    <w:rsid w:val="00515110"/>
    <w:rsid w:val="005203CC"/>
    <w:rsid w:val="00552918"/>
    <w:rsid w:val="005538C7"/>
    <w:rsid w:val="00560A3E"/>
    <w:rsid w:val="005704F4"/>
    <w:rsid w:val="00581B9B"/>
    <w:rsid w:val="00587450"/>
    <w:rsid w:val="005A03BF"/>
    <w:rsid w:val="005B4FF5"/>
    <w:rsid w:val="005D128E"/>
    <w:rsid w:val="005E0F5A"/>
    <w:rsid w:val="005F18B2"/>
    <w:rsid w:val="005F7852"/>
    <w:rsid w:val="0062086A"/>
    <w:rsid w:val="00621193"/>
    <w:rsid w:val="00621B10"/>
    <w:rsid w:val="006321F1"/>
    <w:rsid w:val="00644273"/>
    <w:rsid w:val="00647792"/>
    <w:rsid w:val="00650ED3"/>
    <w:rsid w:val="0066577D"/>
    <w:rsid w:val="0068117B"/>
    <w:rsid w:val="0068395F"/>
    <w:rsid w:val="00687D3A"/>
    <w:rsid w:val="0069113D"/>
    <w:rsid w:val="006A3802"/>
    <w:rsid w:val="006A5C1E"/>
    <w:rsid w:val="006B496A"/>
    <w:rsid w:val="006F0859"/>
    <w:rsid w:val="00707CB2"/>
    <w:rsid w:val="00712366"/>
    <w:rsid w:val="00714848"/>
    <w:rsid w:val="00715521"/>
    <w:rsid w:val="0072012E"/>
    <w:rsid w:val="00724639"/>
    <w:rsid w:val="0074137A"/>
    <w:rsid w:val="00752D16"/>
    <w:rsid w:val="00757EE7"/>
    <w:rsid w:val="0077061E"/>
    <w:rsid w:val="00771432"/>
    <w:rsid w:val="00774562"/>
    <w:rsid w:val="0078167F"/>
    <w:rsid w:val="0078713B"/>
    <w:rsid w:val="00797FE4"/>
    <w:rsid w:val="007A0503"/>
    <w:rsid w:val="007A775F"/>
    <w:rsid w:val="007B095E"/>
    <w:rsid w:val="007B22FD"/>
    <w:rsid w:val="007B3036"/>
    <w:rsid w:val="007C2AE4"/>
    <w:rsid w:val="007E3C21"/>
    <w:rsid w:val="00807B94"/>
    <w:rsid w:val="008142E6"/>
    <w:rsid w:val="00844C7B"/>
    <w:rsid w:val="00846255"/>
    <w:rsid w:val="008477BB"/>
    <w:rsid w:val="00850422"/>
    <w:rsid w:val="00855104"/>
    <w:rsid w:val="008B1543"/>
    <w:rsid w:val="008B1FC7"/>
    <w:rsid w:val="008B73C7"/>
    <w:rsid w:val="008C326C"/>
    <w:rsid w:val="008E262F"/>
    <w:rsid w:val="00906117"/>
    <w:rsid w:val="009173C4"/>
    <w:rsid w:val="009500D3"/>
    <w:rsid w:val="00952D7E"/>
    <w:rsid w:val="0096423B"/>
    <w:rsid w:val="00970955"/>
    <w:rsid w:val="009758B7"/>
    <w:rsid w:val="00977DDA"/>
    <w:rsid w:val="0098440B"/>
    <w:rsid w:val="00990930"/>
    <w:rsid w:val="00991A67"/>
    <w:rsid w:val="009A0525"/>
    <w:rsid w:val="009C16F7"/>
    <w:rsid w:val="009C1936"/>
    <w:rsid w:val="009C55CF"/>
    <w:rsid w:val="009C5C55"/>
    <w:rsid w:val="009C6EBE"/>
    <w:rsid w:val="009C7B1B"/>
    <w:rsid w:val="009D7E7C"/>
    <w:rsid w:val="00A04EB5"/>
    <w:rsid w:val="00A11892"/>
    <w:rsid w:val="00A1406B"/>
    <w:rsid w:val="00A16A3B"/>
    <w:rsid w:val="00A21CD6"/>
    <w:rsid w:val="00A3672A"/>
    <w:rsid w:val="00A50188"/>
    <w:rsid w:val="00A71568"/>
    <w:rsid w:val="00A91228"/>
    <w:rsid w:val="00AE1A3B"/>
    <w:rsid w:val="00AE23E9"/>
    <w:rsid w:val="00AF099A"/>
    <w:rsid w:val="00AF15CE"/>
    <w:rsid w:val="00AF5778"/>
    <w:rsid w:val="00B04577"/>
    <w:rsid w:val="00B21143"/>
    <w:rsid w:val="00B222CF"/>
    <w:rsid w:val="00B2342C"/>
    <w:rsid w:val="00B26E8E"/>
    <w:rsid w:val="00B719E1"/>
    <w:rsid w:val="00B84026"/>
    <w:rsid w:val="00B84071"/>
    <w:rsid w:val="00B96F49"/>
    <w:rsid w:val="00BA39F7"/>
    <w:rsid w:val="00BB2456"/>
    <w:rsid w:val="00BB4D81"/>
    <w:rsid w:val="00BC44A9"/>
    <w:rsid w:val="00BD2A50"/>
    <w:rsid w:val="00BE1F79"/>
    <w:rsid w:val="00BE3CB5"/>
    <w:rsid w:val="00BF3A47"/>
    <w:rsid w:val="00C25E93"/>
    <w:rsid w:val="00C31E16"/>
    <w:rsid w:val="00C35E1A"/>
    <w:rsid w:val="00C43EE1"/>
    <w:rsid w:val="00C530D3"/>
    <w:rsid w:val="00C60E34"/>
    <w:rsid w:val="00C66F0E"/>
    <w:rsid w:val="00C67A92"/>
    <w:rsid w:val="00C86EEA"/>
    <w:rsid w:val="00C93EF5"/>
    <w:rsid w:val="00C95A51"/>
    <w:rsid w:val="00C976B0"/>
    <w:rsid w:val="00CA062F"/>
    <w:rsid w:val="00CA3F5C"/>
    <w:rsid w:val="00CA60B9"/>
    <w:rsid w:val="00CB027D"/>
    <w:rsid w:val="00CB0B3A"/>
    <w:rsid w:val="00CC2376"/>
    <w:rsid w:val="00CC438F"/>
    <w:rsid w:val="00CD2957"/>
    <w:rsid w:val="00CF3A30"/>
    <w:rsid w:val="00D14CFC"/>
    <w:rsid w:val="00D40BDA"/>
    <w:rsid w:val="00D50F9F"/>
    <w:rsid w:val="00D527BB"/>
    <w:rsid w:val="00D631A7"/>
    <w:rsid w:val="00D80739"/>
    <w:rsid w:val="00D83740"/>
    <w:rsid w:val="00DA1710"/>
    <w:rsid w:val="00DA759A"/>
    <w:rsid w:val="00DB5895"/>
    <w:rsid w:val="00DB7B91"/>
    <w:rsid w:val="00DD05C5"/>
    <w:rsid w:val="00DD62A1"/>
    <w:rsid w:val="00DF02E2"/>
    <w:rsid w:val="00E04E12"/>
    <w:rsid w:val="00E066FF"/>
    <w:rsid w:val="00E160D6"/>
    <w:rsid w:val="00E20F07"/>
    <w:rsid w:val="00E32BD8"/>
    <w:rsid w:val="00E406E2"/>
    <w:rsid w:val="00E93238"/>
    <w:rsid w:val="00EC05DF"/>
    <w:rsid w:val="00EC1D68"/>
    <w:rsid w:val="00EE017E"/>
    <w:rsid w:val="00EF01F8"/>
    <w:rsid w:val="00F10A39"/>
    <w:rsid w:val="00F1292B"/>
    <w:rsid w:val="00F17E43"/>
    <w:rsid w:val="00F8528A"/>
    <w:rsid w:val="00F87A1D"/>
    <w:rsid w:val="00F905E9"/>
    <w:rsid w:val="00F911C3"/>
    <w:rsid w:val="00F92647"/>
    <w:rsid w:val="00F92F79"/>
    <w:rsid w:val="00FA0188"/>
    <w:rsid w:val="00FB1D6D"/>
    <w:rsid w:val="00FB5016"/>
    <w:rsid w:val="00FD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semiHidden/>
    <w:unhideWhenUsed/>
    <w:rsid w:val="0068117B"/>
    <w:pPr>
      <w:spacing w:after="120"/>
    </w:pPr>
  </w:style>
  <w:style w:type="character" w:customStyle="1" w:styleId="BodyTextChar">
    <w:name w:val="Body Text Char"/>
    <w:basedOn w:val="DefaultParagraphFont"/>
    <w:link w:val="BodyText"/>
    <w:uiPriority w:val="99"/>
    <w:semiHidden/>
    <w:rsid w:val="0068117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26E6-6F56-4DC3-83BB-AE8DF19A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155</cp:revision>
  <cp:lastPrinted>2022-07-12T04:21:00Z</cp:lastPrinted>
  <dcterms:created xsi:type="dcterms:W3CDTF">2022-06-30T08:59:00Z</dcterms:created>
  <dcterms:modified xsi:type="dcterms:W3CDTF">2025-03-17T08:34:00Z</dcterms:modified>
</cp:coreProperties>
</file>